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07032B" w:rsidP="00DD5847">
      <w:pPr>
        <w:pStyle w:val="TtuloArtCOMNI"/>
        <w:widowControl/>
        <w:spacing w:after="0" w:line="120" w:lineRule="atLeast"/>
        <w:rPr>
          <w:lang w:val="en-GB"/>
        </w:rPr>
      </w:pPr>
    </w:p>
    <w:p w:rsidR="00EE634B" w:rsidRDefault="00EE634B" w:rsidP="00DD5847">
      <w:pPr>
        <w:pStyle w:val="TtuloArtCOMNI"/>
        <w:widowControl/>
        <w:spacing w:after="0" w:line="120" w:lineRule="atLeast"/>
        <w:rPr>
          <w:lang w:val="en-GB"/>
        </w:rPr>
      </w:pPr>
    </w:p>
    <w:p w:rsidR="0007032B" w:rsidRDefault="0007032B" w:rsidP="00DD5847">
      <w:pPr>
        <w:pStyle w:val="TtuloArtCOMNI"/>
        <w:widowControl/>
        <w:spacing w:after="0" w:line="120" w:lineRule="atLeast"/>
        <w:rPr>
          <w:lang w:val="en-GB"/>
        </w:rPr>
      </w:pPr>
    </w:p>
    <w:p w:rsidR="00577D1C" w:rsidRPr="00EB02CC" w:rsidRDefault="00577D1C" w:rsidP="00DD5847">
      <w:pPr>
        <w:pStyle w:val="TtuloArtCOMNI"/>
        <w:widowControl/>
        <w:spacing w:after="0" w:line="120" w:lineRule="atLeast"/>
        <w:rPr>
          <w:lang w:val="en-GB"/>
        </w:rPr>
      </w:pPr>
      <w:r w:rsidRPr="00EB02CC">
        <w:rPr>
          <w:lang w:val="en-GB"/>
        </w:rPr>
        <w:t>ABSTRACT TITLE</w:t>
      </w:r>
    </w:p>
    <w:p w:rsidR="009F5759" w:rsidRDefault="009F5759" w:rsidP="009F5759">
      <w:pPr>
        <w:pStyle w:val="TtuloArtCOMNI"/>
        <w:widowControl/>
        <w:spacing w:after="0" w:line="120" w:lineRule="atLeast"/>
        <w:rPr>
          <w:lang w:val="en-GB"/>
        </w:rPr>
      </w:pPr>
    </w:p>
    <w:p w:rsidR="00EE634B" w:rsidRPr="00EB02CC" w:rsidRDefault="00EE634B" w:rsidP="009F5759">
      <w:pPr>
        <w:pStyle w:val="TtuloArtCOMNI"/>
        <w:widowControl/>
        <w:spacing w:after="0" w:line="120" w:lineRule="atLeast"/>
        <w:rPr>
          <w:lang w:val="en-GB"/>
        </w:rPr>
      </w:pPr>
    </w:p>
    <w:p w:rsidR="0007032B" w:rsidRPr="00EE634B" w:rsidRDefault="009E359E" w:rsidP="00EE634B">
      <w:pPr>
        <w:pStyle w:val="1"/>
        <w:widowControl/>
        <w:spacing w:line="120" w:lineRule="atLeast"/>
        <w:rPr>
          <w:sz w:val="24"/>
          <w:vertAlign w:val="superscript"/>
        </w:rPr>
      </w:pPr>
      <w:r>
        <w:rPr>
          <w:spacing w:val="0"/>
          <w:sz w:val="24"/>
        </w:rPr>
        <w:t>Chao-An Lin</w:t>
      </w:r>
      <w:r w:rsidR="00577D1C" w:rsidRPr="00EB02CC">
        <w:rPr>
          <w:spacing w:val="0"/>
          <w:sz w:val="24"/>
        </w:rPr>
        <w:t>¹</w:t>
      </w:r>
      <w:r w:rsidR="00742DA3">
        <w:rPr>
          <w:spacing w:val="0"/>
          <w:sz w:val="24"/>
        </w:rPr>
        <w:t xml:space="preserve"> and</w:t>
      </w:r>
      <w:r w:rsidR="00577D1C" w:rsidRPr="00EB02CC">
        <w:rPr>
          <w:spacing w:val="0"/>
          <w:sz w:val="24"/>
        </w:rPr>
        <w:t xml:space="preserve"> </w:t>
      </w:r>
      <w:r>
        <w:rPr>
          <w:spacing w:val="0"/>
          <w:sz w:val="24"/>
        </w:rPr>
        <w:t>Tayfun E. Tezduyar</w:t>
      </w:r>
      <w:r w:rsidR="00577D1C" w:rsidRPr="00EB02CC">
        <w:rPr>
          <w:sz w:val="24"/>
          <w:vertAlign w:val="superscript"/>
        </w:rPr>
        <w:t>²</w:t>
      </w:r>
    </w:p>
    <w:p w:rsidR="009E359E" w:rsidRDefault="00DD5847" w:rsidP="005B0BA5">
      <w:pPr>
        <w:jc w:val="center"/>
        <w:rPr>
          <w:sz w:val="22"/>
          <w:szCs w:val="22"/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r w:rsidR="009E359E">
        <w:rPr>
          <w:sz w:val="22"/>
          <w:szCs w:val="22"/>
          <w:lang w:val="en-GB"/>
        </w:rPr>
        <w:t>Department of Power Mechanical Engineering,</w:t>
      </w:r>
    </w:p>
    <w:p w:rsidR="009E359E" w:rsidRDefault="009E359E" w:rsidP="005B0BA5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National Tsing Hua University,</w:t>
      </w:r>
      <w:r w:rsidR="005B0BA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Hsinchu 30013, Taiwan</w:t>
      </w:r>
    </w:p>
    <w:p w:rsidR="00DD5847" w:rsidRPr="00EB02CC" w:rsidRDefault="009E359E" w:rsidP="005B0BA5">
      <w:pPr>
        <w:jc w:val="center"/>
        <w:rPr>
          <w:lang w:val="en-GB"/>
        </w:rPr>
      </w:pPr>
      <w:r>
        <w:rPr>
          <w:sz w:val="22"/>
          <w:szCs w:val="22"/>
          <w:lang w:val="en-GB"/>
        </w:rPr>
        <w:t>calin@pme.nthu.edu.tw</w:t>
      </w:r>
    </w:p>
    <w:p w:rsidR="009E359E" w:rsidRDefault="00DD5847" w:rsidP="00DD5847">
      <w:pPr>
        <w:jc w:val="center"/>
        <w:rPr>
          <w:sz w:val="22"/>
          <w:szCs w:val="22"/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2</w:t>
      </w:r>
      <w:r w:rsidRPr="00EB02CC">
        <w:rPr>
          <w:sz w:val="22"/>
          <w:szCs w:val="22"/>
          <w:lang w:val="en-GB"/>
        </w:rPr>
        <w:t xml:space="preserve"> </w:t>
      </w:r>
      <w:r w:rsidR="009E359E">
        <w:rPr>
          <w:sz w:val="22"/>
          <w:szCs w:val="22"/>
          <w:lang w:val="en-GB"/>
        </w:rPr>
        <w:t>Department of Mechanical Engineering,</w:t>
      </w:r>
    </w:p>
    <w:p w:rsidR="00DD5847" w:rsidRDefault="009E359E" w:rsidP="009E359E">
      <w:pPr>
        <w:jc w:val="center"/>
        <w:rPr>
          <w:lang w:val="en-GB"/>
        </w:rPr>
      </w:pPr>
      <w:r>
        <w:rPr>
          <w:sz w:val="22"/>
          <w:szCs w:val="22"/>
          <w:lang w:val="en-GB"/>
        </w:rPr>
        <w:t xml:space="preserve">Rice University, </w:t>
      </w:r>
      <w:r w:rsidRPr="009E359E">
        <w:rPr>
          <w:lang w:val="en-GB"/>
        </w:rPr>
        <w:t>Houston, TX 77005</w:t>
      </w:r>
      <w:r>
        <w:rPr>
          <w:lang w:val="en-GB"/>
        </w:rPr>
        <w:t>, USA</w:t>
      </w:r>
    </w:p>
    <w:p w:rsidR="009E359E" w:rsidRPr="00EB02CC" w:rsidRDefault="009E359E" w:rsidP="009E359E">
      <w:pPr>
        <w:jc w:val="center"/>
        <w:rPr>
          <w:lang w:val="en-GB"/>
        </w:rPr>
      </w:pPr>
      <w:r w:rsidRPr="009E359E">
        <w:rPr>
          <w:lang w:val="en-GB"/>
        </w:rPr>
        <w:t>tezduyar@gmail.com</w:t>
      </w:r>
    </w:p>
    <w:p w:rsidR="008A6306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:rsidR="0007032B" w:rsidRPr="00EB02CC" w:rsidRDefault="0007032B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:rsidR="00577D1C" w:rsidRPr="00EB02CC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07032B" w:rsidRPr="0007032B">
        <w:rPr>
          <w:b w:val="0"/>
          <w:bCs/>
          <w:i/>
          <w:iCs/>
          <w:caps w:val="0"/>
          <w:lang w:val="en-GB"/>
        </w:rPr>
        <w:t>Instructions, Numerical Methods, Applications.</w:t>
      </w:r>
    </w:p>
    <w:p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>Authors are invited to submit electronically their abstracts, through the C</w:t>
      </w:r>
      <w:r w:rsidR="005050A8">
        <w:rPr>
          <w:sz w:val="24"/>
          <w:lang w:val="en-GB"/>
        </w:rPr>
        <w:t>onference</w:t>
      </w:r>
      <w:r w:rsidRPr="00EB02CC">
        <w:rPr>
          <w:sz w:val="24"/>
          <w:lang w:val="en-GB"/>
        </w:rPr>
        <w:t xml:space="preserve"> web site, before </w:t>
      </w:r>
      <w:r w:rsidR="005050A8">
        <w:rPr>
          <w:b/>
          <w:bCs/>
          <w:sz w:val="24"/>
          <w:lang w:val="en-GB"/>
        </w:rPr>
        <w:t>October 1, 2014</w:t>
      </w:r>
      <w:r w:rsidRPr="00EB02CC">
        <w:rPr>
          <w:b/>
          <w:bCs/>
          <w:sz w:val="24"/>
          <w:lang w:val="en-GB"/>
        </w:rPr>
        <w:t xml:space="preserve">. </w:t>
      </w:r>
      <w:r w:rsidRPr="00EB02CC">
        <w:rPr>
          <w:sz w:val="24"/>
          <w:lang w:val="en-GB"/>
        </w:rPr>
        <w:t xml:space="preserve">Abstracts should outline the main features, results and conclusions as well as their general significance, and contain relevant references. 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>The Abstract can be submitted directly in its final form.</w:t>
      </w:r>
      <w:r w:rsidRPr="00EB02CC">
        <w:rPr>
          <w:rFonts w:ascii="Arial" w:hAnsi="Arial" w:cs="Arial"/>
          <w:sz w:val="20"/>
          <w:lang w:val="en-GB"/>
        </w:rPr>
        <w:t xml:space="preserve"> </w:t>
      </w:r>
      <w:r w:rsidRPr="00EB02CC">
        <w:rPr>
          <w:sz w:val="24"/>
          <w:lang w:val="en-GB"/>
        </w:rPr>
        <w:t xml:space="preserve">Authors will have the possibility of replacing the file by an updated version after the acceptance notification, but this will not be a requirement. 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 xml:space="preserve">The Abstract should be written following the format of the Latex and Word macros for submission that can be found in the Registration and Abstract Submission area on: </w:t>
      </w:r>
      <w:r w:rsidR="005050A8" w:rsidRPr="005050A8">
        <w:rPr>
          <w:rStyle w:val="a4"/>
          <w:i/>
          <w:iCs/>
          <w:color w:val="auto"/>
          <w:sz w:val="24"/>
          <w:lang w:val="en-GB"/>
        </w:rPr>
        <w:t>http://fef2015.tw/abstract.html</w:t>
      </w:r>
      <w:r w:rsidRPr="00EB02CC">
        <w:rPr>
          <w:i/>
          <w:iCs/>
          <w:sz w:val="24"/>
          <w:lang w:val="en-GB"/>
        </w:rPr>
        <w:t xml:space="preserve">. </w:t>
      </w:r>
      <w:r w:rsidRPr="00EB02CC">
        <w:rPr>
          <w:noProof/>
          <w:sz w:val="24"/>
          <w:lang w:val="en-GB"/>
        </w:rPr>
        <w:t>The file must be converted</w:t>
      </w:r>
      <w:r w:rsidRPr="00EB02CC">
        <w:rPr>
          <w:sz w:val="24"/>
          <w:lang w:val="en-GB"/>
        </w:rPr>
        <w:t xml:space="preserve"> to Portable Document Format (PDF) before submission through the Con</w:t>
      </w:r>
      <w:r w:rsidR="0007032B">
        <w:rPr>
          <w:sz w:val="24"/>
          <w:lang w:val="en-GB"/>
        </w:rPr>
        <w:t>ference</w:t>
      </w:r>
      <w:r w:rsidRPr="00EB02CC">
        <w:rPr>
          <w:sz w:val="24"/>
          <w:lang w:val="en-GB"/>
        </w:rPr>
        <w:t xml:space="preserve"> web site. Other formats are not accepted by the system.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szCs w:val="18"/>
          <w:lang w:val="en-GB"/>
        </w:rPr>
      </w:pPr>
      <w:r w:rsidRPr="00EB02CC">
        <w:rPr>
          <w:sz w:val="24"/>
          <w:lang w:val="en-GB"/>
        </w:rPr>
        <w:t xml:space="preserve">The Abstract must be written in English within a printing box of 16cm x 21cm, centered in the page. The Abstract including figures, tables and references must not exceed 2 pages. </w:t>
      </w:r>
      <w:r w:rsidRPr="00EB02CC">
        <w:rPr>
          <w:sz w:val="24"/>
          <w:szCs w:val="18"/>
          <w:lang w:val="en-GB"/>
        </w:rPr>
        <w:t>Maximum file size is 4 MB.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>The Abstract must contain the full name and full address of author/s. In the case of joint authorships, the name of the author who will actually present the paper at the Con</w:t>
      </w:r>
      <w:r w:rsidR="0007032B">
        <w:rPr>
          <w:sz w:val="24"/>
          <w:lang w:val="en-GB"/>
        </w:rPr>
        <w:t>ference</w:t>
      </w:r>
      <w:r w:rsidRPr="00EB02CC">
        <w:rPr>
          <w:sz w:val="24"/>
          <w:lang w:val="en-GB"/>
        </w:rPr>
        <w:t xml:space="preserve"> should be indicated with an asterisk. Papers can only be accepted on the understanding that they will be presented at the Con</w:t>
      </w:r>
      <w:r w:rsidR="0007032B">
        <w:rPr>
          <w:sz w:val="24"/>
          <w:lang w:val="en-GB"/>
        </w:rPr>
        <w:t>ference</w:t>
      </w:r>
      <w:r w:rsidRPr="00EB02CC">
        <w:rPr>
          <w:sz w:val="24"/>
          <w:lang w:val="en-GB"/>
        </w:rPr>
        <w:t xml:space="preserve">. 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b/>
          <w:bCs/>
          <w:sz w:val="24"/>
          <w:lang w:val="en-GB"/>
        </w:rPr>
      </w:pPr>
      <w:r w:rsidRPr="00EB02CC">
        <w:rPr>
          <w:sz w:val="24"/>
          <w:lang w:val="en-GB"/>
        </w:rPr>
        <w:t xml:space="preserve">Preliminary acceptance of the contribution will be communicated to the corresponding author by </w:t>
      </w:r>
      <w:r w:rsidR="005050A8">
        <w:rPr>
          <w:b/>
          <w:bCs/>
          <w:sz w:val="24"/>
          <w:lang w:val="en-GB"/>
        </w:rPr>
        <w:t>October 21</w:t>
      </w:r>
      <w:r w:rsidRPr="00EB02CC">
        <w:rPr>
          <w:b/>
          <w:bCs/>
          <w:sz w:val="24"/>
          <w:lang w:val="en-GB"/>
        </w:rPr>
        <w:t>, 2014</w:t>
      </w:r>
    </w:p>
    <w:p w:rsidR="006F4293" w:rsidRPr="00EB02CC" w:rsidRDefault="006F4293" w:rsidP="006F4293">
      <w:pPr>
        <w:pStyle w:val="a9"/>
        <w:spacing w:line="240" w:lineRule="atLeast"/>
        <w:rPr>
          <w:b/>
          <w:bCs/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 xml:space="preserve">The final Abstract in format for publication will be required by </w:t>
      </w:r>
      <w:r w:rsidR="005050A8">
        <w:rPr>
          <w:sz w:val="24"/>
          <w:lang w:val="en-GB"/>
        </w:rPr>
        <w:t>December 1st</w:t>
      </w:r>
      <w:r w:rsidRPr="00EB02CC">
        <w:rPr>
          <w:sz w:val="24"/>
          <w:lang w:val="en-GB"/>
        </w:rPr>
        <w:t>, 2014.</w:t>
      </w:r>
    </w:p>
    <w:p w:rsidR="006F4293" w:rsidRPr="005050A8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lastRenderedPageBreak/>
        <w:t xml:space="preserve">Please note that </w:t>
      </w:r>
      <w:r w:rsidRPr="00EB02CC">
        <w:rPr>
          <w:b/>
          <w:bCs/>
          <w:sz w:val="24"/>
          <w:lang w:val="en-GB"/>
        </w:rPr>
        <w:t>final acceptance</w:t>
      </w:r>
      <w:r w:rsidRPr="00EB02CC">
        <w:rPr>
          <w:sz w:val="24"/>
          <w:lang w:val="en-GB"/>
        </w:rPr>
        <w:t xml:space="preserve"> of papers for presentation is conditional to receiving the</w:t>
      </w:r>
      <w:r w:rsidR="001C6A2E" w:rsidRPr="00EB02CC">
        <w:rPr>
          <w:sz w:val="24"/>
          <w:lang w:val="en-GB"/>
        </w:rPr>
        <w:t xml:space="preserve"> </w:t>
      </w:r>
      <w:r w:rsidRPr="00EB02CC">
        <w:rPr>
          <w:sz w:val="24"/>
          <w:lang w:val="en-GB"/>
        </w:rPr>
        <w:t xml:space="preserve">final Abstract and the payment of the presenting author's </w:t>
      </w:r>
      <w:r w:rsidR="0007032B">
        <w:rPr>
          <w:sz w:val="24"/>
          <w:lang w:val="en-GB"/>
        </w:rPr>
        <w:t>conference</w:t>
      </w:r>
      <w:r w:rsidRPr="00EB02CC">
        <w:rPr>
          <w:sz w:val="24"/>
          <w:lang w:val="en-GB"/>
        </w:rPr>
        <w:t xml:space="preserve"> registration fee before</w:t>
      </w:r>
      <w:r w:rsidRPr="00EB02CC">
        <w:rPr>
          <w:b/>
          <w:bCs/>
          <w:sz w:val="24"/>
          <w:lang w:val="en-GB"/>
        </w:rPr>
        <w:t xml:space="preserve"> </w:t>
      </w:r>
      <w:r w:rsidR="005050A8">
        <w:rPr>
          <w:b/>
          <w:bCs/>
          <w:sz w:val="24"/>
          <w:lang w:val="en-GB"/>
        </w:rPr>
        <w:t>December 1st</w:t>
      </w:r>
      <w:r w:rsidRPr="00EB02CC">
        <w:rPr>
          <w:b/>
          <w:bCs/>
          <w:sz w:val="24"/>
          <w:lang w:val="en-GB"/>
        </w:rPr>
        <w:t>, 2014.</w:t>
      </w:r>
      <w:r w:rsidRPr="00EB02CC">
        <w:rPr>
          <w:sz w:val="24"/>
          <w:lang w:val="en-GB"/>
        </w:rPr>
        <w:t xml:space="preserve"> Only one presentation per delegate is allowed.</w:t>
      </w:r>
    </w:p>
    <w:p w:rsidR="00EB02CC" w:rsidRDefault="00EB02CC" w:rsidP="006F4293">
      <w:pPr>
        <w:pStyle w:val="a9"/>
        <w:spacing w:line="240" w:lineRule="atLeast"/>
        <w:rPr>
          <w:b/>
          <w:bCs/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b/>
          <w:bCs/>
          <w:sz w:val="24"/>
          <w:lang w:val="en-GB"/>
        </w:rPr>
        <w:t xml:space="preserve">Important: </w:t>
      </w:r>
      <w:r w:rsidRPr="00EB02CC">
        <w:rPr>
          <w:sz w:val="24"/>
          <w:lang w:val="en-GB"/>
        </w:rPr>
        <w:t xml:space="preserve">Before submitting the contribution you should be registered. Please fill in the </w:t>
      </w:r>
      <w:hyperlink r:id="rId7" w:history="1">
        <w:r w:rsidRPr="00EB02CC">
          <w:rPr>
            <w:rStyle w:val="a4"/>
            <w:color w:val="auto"/>
            <w:sz w:val="24"/>
            <w:lang w:val="en-GB"/>
          </w:rPr>
          <w:t>registration form</w:t>
        </w:r>
      </w:hyperlink>
      <w:r w:rsidRPr="00EB02CC">
        <w:rPr>
          <w:sz w:val="24"/>
          <w:lang w:val="en-GB"/>
        </w:rPr>
        <w:t xml:space="preserve"> choosing your login and password. To modify the information or add/modify the file of the Abstract you have to </w:t>
      </w:r>
      <w:hyperlink r:id="rId8" w:history="1">
        <w:r w:rsidRPr="00EB02CC">
          <w:rPr>
            <w:rStyle w:val="a4"/>
            <w:color w:val="auto"/>
            <w:sz w:val="24"/>
            <w:lang w:val="en-GB"/>
          </w:rPr>
          <w:t>login</w:t>
        </w:r>
      </w:hyperlink>
      <w:bookmarkStart w:id="0" w:name="_GoBack"/>
      <w:bookmarkEnd w:id="0"/>
      <w:r w:rsidRPr="00EB02CC">
        <w:rPr>
          <w:sz w:val="24"/>
          <w:lang w:val="en-GB"/>
        </w:rPr>
        <w:t xml:space="preserve">. Registration does not oblige </w:t>
      </w:r>
      <w:r w:rsidR="006F4293" w:rsidRPr="00EB02CC">
        <w:rPr>
          <w:sz w:val="24"/>
          <w:lang w:val="en-GB"/>
        </w:rPr>
        <w:t>the author</w:t>
      </w:r>
      <w:r w:rsidRPr="00EB02CC">
        <w:rPr>
          <w:sz w:val="24"/>
          <w:lang w:val="en-GB"/>
        </w:rPr>
        <w:t xml:space="preserve"> to pay the fees before having received the acceptance letter. </w:t>
      </w:r>
    </w:p>
    <w:p w:rsidR="006F4293" w:rsidRPr="00EB02CC" w:rsidRDefault="006F4293" w:rsidP="006F4293">
      <w:pPr>
        <w:pStyle w:val="a9"/>
        <w:spacing w:line="240" w:lineRule="atLeast"/>
        <w:rPr>
          <w:sz w:val="24"/>
          <w:lang w:val="en-GB"/>
        </w:rPr>
      </w:pPr>
    </w:p>
    <w:p w:rsidR="00577D1C" w:rsidRPr="00EB02CC" w:rsidRDefault="00577D1C" w:rsidP="006F4293">
      <w:pPr>
        <w:pStyle w:val="a9"/>
        <w:spacing w:line="240" w:lineRule="atLeast"/>
        <w:rPr>
          <w:sz w:val="24"/>
          <w:lang w:val="en-GB"/>
        </w:rPr>
      </w:pPr>
      <w:r w:rsidRPr="00EB02CC">
        <w:rPr>
          <w:sz w:val="24"/>
          <w:lang w:val="en-GB"/>
        </w:rPr>
        <w:t xml:space="preserve">For any question, please contact </w:t>
      </w:r>
      <w:r w:rsidR="005050A8">
        <w:rPr>
          <w:sz w:val="24"/>
          <w:lang w:val="en-GB"/>
        </w:rPr>
        <w:t>FEM</w:t>
      </w:r>
      <w:r w:rsidR="00B4077B">
        <w:rPr>
          <w:sz w:val="24"/>
          <w:lang w:val="en-GB"/>
        </w:rPr>
        <w:t xml:space="preserve"> 2015</w:t>
      </w:r>
      <w:r w:rsidRPr="00EB02CC">
        <w:rPr>
          <w:sz w:val="24"/>
          <w:lang w:val="en-GB"/>
        </w:rPr>
        <w:t xml:space="preserve"> C</w:t>
      </w:r>
      <w:r w:rsidR="005050A8">
        <w:rPr>
          <w:sz w:val="24"/>
          <w:lang w:val="en-GB"/>
        </w:rPr>
        <w:t>onference</w:t>
      </w:r>
      <w:r w:rsidRPr="00EB02CC">
        <w:rPr>
          <w:sz w:val="24"/>
          <w:lang w:val="en-GB"/>
        </w:rPr>
        <w:t xml:space="preserve"> Secretariat</w:t>
      </w:r>
      <w:r w:rsidR="00DD5847" w:rsidRPr="00EB02CC">
        <w:rPr>
          <w:sz w:val="24"/>
          <w:lang w:val="en-GB"/>
        </w:rPr>
        <w:t>.</w:t>
      </w:r>
    </w:p>
    <w:p w:rsidR="00577D1C" w:rsidRPr="00EB02CC" w:rsidRDefault="00577D1C" w:rsidP="006F4293">
      <w:pPr>
        <w:pStyle w:val="a9"/>
        <w:spacing w:line="240" w:lineRule="atLeast"/>
        <w:rPr>
          <w:sz w:val="24"/>
          <w:szCs w:val="24"/>
          <w:lang w:val="it-IT"/>
        </w:rPr>
      </w:pPr>
      <w:r w:rsidRPr="00EB02CC">
        <w:rPr>
          <w:sz w:val="24"/>
          <w:lang w:val="it-IT"/>
        </w:rPr>
        <w:t xml:space="preserve">E-mail: </w:t>
      </w:r>
      <w:r w:rsidR="005050A8" w:rsidRPr="005050A8">
        <w:rPr>
          <w:sz w:val="24"/>
          <w:szCs w:val="24"/>
          <w:u w:val="single"/>
          <w:lang w:val="it-IT"/>
        </w:rPr>
        <w:t>fef2015@elitepco.com.tw</w:t>
      </w:r>
    </w:p>
    <w:p w:rsidR="00577D1C" w:rsidRPr="00EB02CC" w:rsidRDefault="00577D1C" w:rsidP="006F4293">
      <w:pPr>
        <w:pStyle w:val="a9"/>
        <w:spacing w:line="240" w:lineRule="atLeast"/>
        <w:rPr>
          <w:b/>
          <w:sz w:val="24"/>
          <w:lang w:val="it-IT"/>
        </w:rPr>
      </w:pPr>
    </w:p>
    <w:p w:rsidR="00577D1C" w:rsidRPr="00EB02CC" w:rsidRDefault="00577D1C" w:rsidP="00653867">
      <w:pPr>
        <w:pStyle w:val="a9"/>
        <w:spacing w:before="240" w:after="120" w:line="240" w:lineRule="atLeast"/>
        <w:rPr>
          <w:b/>
          <w:sz w:val="24"/>
          <w:lang w:val="es-ES"/>
        </w:rPr>
      </w:pPr>
      <w:r w:rsidRPr="00EB02CC">
        <w:rPr>
          <w:b/>
          <w:sz w:val="24"/>
          <w:lang w:val="es-ES"/>
        </w:rPr>
        <w:t>REFERENCES</w:t>
      </w:r>
    </w:p>
    <w:p w:rsidR="00B4077B" w:rsidRDefault="00B4077B" w:rsidP="00C64B5D">
      <w:pPr>
        <w:pStyle w:val="a9"/>
        <w:numPr>
          <w:ilvl w:val="0"/>
          <w:numId w:val="6"/>
        </w:numPr>
        <w:spacing w:line="240" w:lineRule="atLeast"/>
        <w:rPr>
          <w:sz w:val="24"/>
          <w:lang w:val="en-GB"/>
        </w:rPr>
      </w:pPr>
      <w:r w:rsidRPr="00B4077B">
        <w:rPr>
          <w:sz w:val="24"/>
          <w:lang w:val="en-GB"/>
        </w:rPr>
        <w:t>Tezduyar TE, Takizawa K, Moorman C, Wright S, Christopher J (2010) Multiscale sequentially</w:t>
      </w:r>
      <w:r>
        <w:rPr>
          <w:sz w:val="24"/>
          <w:lang w:val="en-GB"/>
        </w:rPr>
        <w:t xml:space="preserve"> </w:t>
      </w:r>
      <w:r w:rsidRPr="00B4077B">
        <w:rPr>
          <w:sz w:val="24"/>
          <w:lang w:val="en-GB"/>
        </w:rPr>
        <w:t xml:space="preserve">coupled arterial FSI technique. </w:t>
      </w:r>
      <w:r w:rsidRPr="00C154E6">
        <w:rPr>
          <w:i/>
          <w:sz w:val="24"/>
          <w:lang w:val="en-GB"/>
        </w:rPr>
        <w:t xml:space="preserve">Comput Mech </w:t>
      </w:r>
      <w:r w:rsidRPr="00C154E6">
        <w:rPr>
          <w:b/>
          <w:sz w:val="24"/>
          <w:lang w:val="en-GB"/>
        </w:rPr>
        <w:t>46</w:t>
      </w:r>
      <w:r w:rsidRPr="00B4077B">
        <w:rPr>
          <w:sz w:val="24"/>
          <w:lang w:val="en-GB"/>
        </w:rPr>
        <w:t>:17–29</w:t>
      </w:r>
      <w:r w:rsidR="00577D1C" w:rsidRPr="00B4077B">
        <w:rPr>
          <w:sz w:val="24"/>
          <w:lang w:val="en-GB"/>
        </w:rPr>
        <w:t>.</w:t>
      </w:r>
    </w:p>
    <w:p w:rsidR="00577D1C" w:rsidRDefault="00B4077B" w:rsidP="0099426B">
      <w:pPr>
        <w:pStyle w:val="a9"/>
        <w:numPr>
          <w:ilvl w:val="0"/>
          <w:numId w:val="6"/>
        </w:numPr>
        <w:spacing w:line="240" w:lineRule="atLeast"/>
        <w:rPr>
          <w:lang w:val="en-GB"/>
        </w:rPr>
      </w:pPr>
      <w:r>
        <w:rPr>
          <w:lang w:val="en-GB"/>
        </w:rPr>
        <w:t>Hsu SW, Hsu JB, Lo</w:t>
      </w:r>
      <w:r w:rsidRPr="00B4077B">
        <w:rPr>
          <w:lang w:val="en-GB"/>
        </w:rPr>
        <w:t xml:space="preserve"> W</w:t>
      </w:r>
      <w:r>
        <w:rPr>
          <w:lang w:val="en-GB"/>
        </w:rPr>
        <w:t>, Lin CA</w:t>
      </w:r>
      <w:r w:rsidRPr="00B4077B">
        <w:rPr>
          <w:lang w:val="en-GB"/>
        </w:rPr>
        <w:t xml:space="preserve"> </w:t>
      </w:r>
      <w:r>
        <w:rPr>
          <w:lang w:val="en-GB"/>
        </w:rPr>
        <w:t>(</w:t>
      </w:r>
      <w:r w:rsidRPr="00B4077B">
        <w:rPr>
          <w:lang w:val="en-GB"/>
        </w:rPr>
        <w:t>2012</w:t>
      </w:r>
      <w:r>
        <w:rPr>
          <w:lang w:val="en-GB"/>
        </w:rPr>
        <w:t>)</w:t>
      </w:r>
      <w:r w:rsidRPr="00B4077B">
        <w:rPr>
          <w:lang w:val="en-GB"/>
        </w:rPr>
        <w:t xml:space="preserve"> Large eddy simulations of turbulent Couette-Poiseuille and Couette Flows insi</w:t>
      </w:r>
      <w:r>
        <w:rPr>
          <w:lang w:val="en-GB"/>
        </w:rPr>
        <w:t xml:space="preserve">de a square duct, </w:t>
      </w:r>
      <w:r w:rsidRPr="00C154E6">
        <w:rPr>
          <w:i/>
          <w:lang w:val="en-GB"/>
        </w:rPr>
        <w:t>J. Fluid Mech</w:t>
      </w:r>
      <w:r w:rsidRPr="00B4077B">
        <w:rPr>
          <w:lang w:val="en-GB"/>
        </w:rPr>
        <w:t xml:space="preserve"> </w:t>
      </w:r>
      <w:r w:rsidRPr="00C154E6">
        <w:rPr>
          <w:b/>
          <w:lang w:val="en-GB"/>
        </w:rPr>
        <w:t>702</w:t>
      </w:r>
      <w:r>
        <w:rPr>
          <w:lang w:val="en-GB"/>
        </w:rPr>
        <w:t>:89-10</w:t>
      </w:r>
      <w:r w:rsidR="00C154E6">
        <w:rPr>
          <w:lang w:val="en-GB"/>
        </w:rPr>
        <w:t>.</w:t>
      </w:r>
    </w:p>
    <w:p w:rsidR="000937C2" w:rsidRPr="00C154E6" w:rsidRDefault="00C154E6" w:rsidP="00FA1748">
      <w:pPr>
        <w:pStyle w:val="a9"/>
        <w:numPr>
          <w:ilvl w:val="0"/>
          <w:numId w:val="6"/>
        </w:numPr>
        <w:spacing w:line="240" w:lineRule="atLeast"/>
        <w:rPr>
          <w:lang w:val="en-GB"/>
        </w:rPr>
      </w:pPr>
      <w:r w:rsidRPr="00C154E6">
        <w:rPr>
          <w:lang w:val="en-GB"/>
        </w:rPr>
        <w:t xml:space="preserve">Ferziger JH </w:t>
      </w:r>
      <w:r w:rsidRPr="00C154E6">
        <w:rPr>
          <w:i/>
          <w:lang w:val="en-GB"/>
        </w:rPr>
        <w:t>Numerical Methods for Engineering Application</w:t>
      </w:r>
      <w:r w:rsidRPr="00C154E6">
        <w:rPr>
          <w:lang w:val="en-GB"/>
        </w:rPr>
        <w:t>. 2nd Edition, Wiley, 1998.</w:t>
      </w:r>
    </w:p>
    <w:sectPr w:rsidR="000937C2" w:rsidRPr="00C154E6" w:rsidSect="00653867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871" w:right="1418" w:bottom="1701" w:left="1418" w:header="1134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78" w:rsidRDefault="00122F78">
      <w:r>
        <w:separator/>
      </w:r>
    </w:p>
  </w:endnote>
  <w:endnote w:type="continuationSeparator" w:id="0">
    <w:p w:rsidR="00122F78" w:rsidRDefault="001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02" w:rsidRDefault="00C9360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602" w:rsidRDefault="00C936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02" w:rsidRDefault="00C9360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132C">
      <w:rPr>
        <w:rStyle w:val="a8"/>
        <w:noProof/>
      </w:rPr>
      <w:t>2</w:t>
    </w:r>
    <w:r>
      <w:rPr>
        <w:rStyle w:val="a8"/>
      </w:rPr>
      <w:fldChar w:fldCharType="end"/>
    </w:r>
  </w:p>
  <w:p w:rsidR="00C93602" w:rsidRDefault="00C936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78" w:rsidRDefault="00122F78">
      <w:r>
        <w:separator/>
      </w:r>
    </w:p>
  </w:footnote>
  <w:footnote w:type="continuationSeparator" w:id="0">
    <w:p w:rsidR="00122F78" w:rsidRDefault="0012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02" w:rsidRDefault="005B0BA5">
    <w:pPr>
      <w:pStyle w:val="Header2WCCM"/>
    </w:pPr>
    <w:r>
      <w:t>Chao-An Lin and Tayfun E. Tezduyar</w:t>
    </w:r>
    <w:r w:rsidR="00C9360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34B" w:rsidRDefault="00EE634B" w:rsidP="00BC549A">
    <w:pPr>
      <w:pStyle w:val="Header1WCCM"/>
      <w:wordWrap w:val="0"/>
      <w:rPr>
        <w:bCs/>
      </w:rPr>
    </w:pPr>
  </w:p>
  <w:p w:rsidR="000A0242" w:rsidRPr="000A0242" w:rsidRDefault="000A0242" w:rsidP="00EE634B">
    <w:pPr>
      <w:pStyle w:val="Header1WCCM"/>
      <w:rPr>
        <w:bCs/>
      </w:rPr>
    </w:pPr>
    <w:r w:rsidRPr="000A0242">
      <w:rPr>
        <w:bCs/>
      </w:rPr>
      <w:t>The 18th International Conference on Finite Elements in Flow Problems</w:t>
    </w:r>
    <w:r>
      <w:rPr>
        <w:bCs/>
      </w:rPr>
      <w:t xml:space="preserve"> (FEF2015)</w:t>
    </w:r>
  </w:p>
  <w:p w:rsidR="00C93602" w:rsidRPr="00512A06" w:rsidRDefault="000A0242" w:rsidP="000A0242">
    <w:pPr>
      <w:pStyle w:val="Header1WCCM"/>
      <w:rPr>
        <w:bCs/>
        <w:lang w:val="en-GB"/>
      </w:rPr>
    </w:pPr>
    <w:r w:rsidRPr="000A0242">
      <w:rPr>
        <w:rFonts w:hint="eastAsia"/>
        <w:bCs/>
      </w:rPr>
      <w:t>16-18 March 2015</w:t>
    </w:r>
    <w:r>
      <w:rPr>
        <w:bCs/>
      </w:rPr>
      <w:t>,</w:t>
    </w:r>
    <w:r w:rsidRPr="000A0242">
      <w:rPr>
        <w:rFonts w:hint="eastAsia"/>
        <w:bCs/>
      </w:rPr>
      <w:t xml:space="preserve"> Taipei, Taiwan</w:t>
    </w:r>
  </w:p>
  <w:p w:rsidR="00DD5847" w:rsidRDefault="00DD5847" w:rsidP="00952EDD">
    <w:pPr>
      <w:pStyle w:val="a5"/>
      <w:jc w:val="right"/>
      <w:rPr>
        <w:bCs/>
        <w:sz w:val="18"/>
        <w:szCs w:val="18"/>
        <w:lang w:val="en-GB"/>
      </w:rPr>
    </w:pPr>
  </w:p>
  <w:p w:rsidR="00DD5847" w:rsidRPr="00653867" w:rsidRDefault="00DD5847" w:rsidP="00DD5847">
    <w:pPr>
      <w:pStyle w:val="a5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74"/>
    <w:rsid w:val="00062FDD"/>
    <w:rsid w:val="0007032B"/>
    <w:rsid w:val="000937C2"/>
    <w:rsid w:val="000A0242"/>
    <w:rsid w:val="000C2546"/>
    <w:rsid w:val="00122F78"/>
    <w:rsid w:val="00163FE1"/>
    <w:rsid w:val="001C6A2E"/>
    <w:rsid w:val="00250215"/>
    <w:rsid w:val="00283594"/>
    <w:rsid w:val="005050A8"/>
    <w:rsid w:val="005120C9"/>
    <w:rsid w:val="00512A06"/>
    <w:rsid w:val="00555774"/>
    <w:rsid w:val="0056767B"/>
    <w:rsid w:val="00577D1C"/>
    <w:rsid w:val="005A7F0E"/>
    <w:rsid w:val="005B0BA5"/>
    <w:rsid w:val="005F59AA"/>
    <w:rsid w:val="006365EF"/>
    <w:rsid w:val="00645FDD"/>
    <w:rsid w:val="00653867"/>
    <w:rsid w:val="00695FA1"/>
    <w:rsid w:val="006F4293"/>
    <w:rsid w:val="00742DA3"/>
    <w:rsid w:val="007C1C38"/>
    <w:rsid w:val="00816E6C"/>
    <w:rsid w:val="00820C95"/>
    <w:rsid w:val="00851CF4"/>
    <w:rsid w:val="008A6306"/>
    <w:rsid w:val="008F4F35"/>
    <w:rsid w:val="009017CD"/>
    <w:rsid w:val="0091061D"/>
    <w:rsid w:val="00952EDD"/>
    <w:rsid w:val="009771D8"/>
    <w:rsid w:val="009940CC"/>
    <w:rsid w:val="009E359E"/>
    <w:rsid w:val="009F5759"/>
    <w:rsid w:val="00B401D6"/>
    <w:rsid w:val="00B4077B"/>
    <w:rsid w:val="00BC549A"/>
    <w:rsid w:val="00C01AA4"/>
    <w:rsid w:val="00C0423D"/>
    <w:rsid w:val="00C154E6"/>
    <w:rsid w:val="00C93602"/>
    <w:rsid w:val="00CB132C"/>
    <w:rsid w:val="00CC0C75"/>
    <w:rsid w:val="00D1526D"/>
    <w:rsid w:val="00DD5847"/>
    <w:rsid w:val="00EB02CC"/>
    <w:rsid w:val="00EE634B"/>
    <w:rsid w:val="00F473A5"/>
    <w:rsid w:val="00F9580E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E13287-8356-4C69-80DF-D0735223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a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PieFigoTablaCOMNI">
    <w:name w:val="Pie Fig. o Tabla. COMNI"/>
    <w:basedOn w:val="a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page number"/>
    <w:basedOn w:val="a0"/>
  </w:style>
  <w:style w:type="paragraph" w:styleId="a9">
    <w:name w:val="Body Text"/>
    <w:basedOn w:val="a"/>
    <w:link w:val="aa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a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ab">
    <w:name w:val="Balloon Text"/>
    <w:basedOn w:val="a"/>
    <w:semiHidden/>
    <w:rsid w:val="00555774"/>
    <w:rPr>
      <w:rFonts w:ascii="Tahoma" w:hAnsi="Tahoma" w:cs="Tahoma"/>
      <w:sz w:val="16"/>
      <w:szCs w:val="16"/>
    </w:rPr>
  </w:style>
  <w:style w:type="character" w:customStyle="1" w:styleId="aa">
    <w:name w:val="本文 字元"/>
    <w:basedOn w:val="a0"/>
    <w:link w:val="a9"/>
    <w:rsid w:val="00D1526D"/>
    <w:rPr>
      <w:sz w:val="22"/>
      <w:lang w:val="es-ES_tradnl"/>
    </w:rPr>
  </w:style>
  <w:style w:type="character" w:customStyle="1" w:styleId="10">
    <w:name w:val="標題 1 字元"/>
    <w:basedOn w:val="a0"/>
    <w:link w:val="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a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a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f2015.sysinfo.com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f2015.sysinfo.com.tw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INSTRUCTIONS TO PREPARE A PAPER FOR THE EUROPEAN CONGRESS ON COMPUTATIONAL METHODS IN APPLIED SCIENCES AND ENGINEERING</vt:lpstr>
    </vt:vector>
  </TitlesOfParts>
  <Company>CIMNE</Company>
  <LinksUpToDate>false</LinksUpToDate>
  <CharactersWithSpaces>3058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CALin</cp:lastModifiedBy>
  <cp:revision>2</cp:revision>
  <cp:lastPrinted>2014-01-14T08:13:00Z</cp:lastPrinted>
  <dcterms:created xsi:type="dcterms:W3CDTF">2014-05-29T02:00:00Z</dcterms:created>
  <dcterms:modified xsi:type="dcterms:W3CDTF">2014-05-29T02:00:00Z</dcterms:modified>
</cp:coreProperties>
</file>